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F4" w:rsidRDefault="00DB1CF4" w:rsidP="00DB1CF4">
      <w:bookmarkStart w:id="0" w:name="_GoBack"/>
      <w:bookmarkEnd w:id="0"/>
      <w:r>
        <w:t>Stephen Alerhand MD</w:t>
      </w:r>
    </w:p>
    <w:p w:rsidR="00DB1CF4" w:rsidRDefault="00DB1CF4" w:rsidP="00DB1CF4">
      <w:r>
        <w:t xml:space="preserve">Resident, Department of </w:t>
      </w:r>
      <w:proofErr w:type="gramStart"/>
      <w:r>
        <w:t>Emergency Medicine</w:t>
      </w:r>
      <w:proofErr w:type="gramEnd"/>
    </w:p>
    <w:p w:rsidR="00DB1CF4" w:rsidRDefault="000063A3" w:rsidP="00DB1CF4">
      <w:r>
        <w:t xml:space="preserve">Incoming </w:t>
      </w:r>
      <w:r w:rsidR="00DB1CF4">
        <w:t xml:space="preserve">Fellow, Division of </w:t>
      </w:r>
      <w:r>
        <w:t xml:space="preserve">Emergency </w:t>
      </w:r>
      <w:r w:rsidR="00DB1CF4">
        <w:t>Ultrasound</w:t>
      </w:r>
    </w:p>
    <w:p w:rsidR="00DB1CF4" w:rsidRDefault="00DB1CF4" w:rsidP="00DB1CF4">
      <w:r>
        <w:t>Icahn School of Medicine at Mount Sinai</w:t>
      </w:r>
    </w:p>
    <w:p w:rsidR="000A6491" w:rsidRDefault="000A6491"/>
    <w:p w:rsidR="000A6491" w:rsidRPr="000A6491" w:rsidRDefault="000A6491" w:rsidP="000A6491">
      <w:pPr>
        <w:jc w:val="center"/>
      </w:pPr>
      <w:r>
        <w:rPr>
          <w:b/>
          <w:u w:val="single"/>
        </w:rPr>
        <w:t>Regional Anesthesia Elective Rotation</w:t>
      </w:r>
    </w:p>
    <w:p w:rsidR="00DB1CF4" w:rsidRDefault="00DB1CF4"/>
    <w:p w:rsidR="000A6491" w:rsidRDefault="000A6491"/>
    <w:p w:rsidR="00BC7C54" w:rsidRDefault="00DB1CF4">
      <w:r>
        <w:rPr>
          <w:b/>
        </w:rPr>
        <w:t xml:space="preserve">I – </w:t>
      </w:r>
      <w:r w:rsidR="00BC7C54">
        <w:rPr>
          <w:b/>
        </w:rPr>
        <w:t>Rotation Goals</w:t>
      </w:r>
    </w:p>
    <w:p w:rsidR="00BC7C54" w:rsidRDefault="00BC7C54"/>
    <w:p w:rsidR="00BC7C54" w:rsidRDefault="00BC7C54">
      <w:r>
        <w:t>By the end of the rotation, the fellow or resident should be able to:</w:t>
      </w:r>
    </w:p>
    <w:p w:rsidR="000A6491" w:rsidRPr="00BC7C54" w:rsidRDefault="000A6491"/>
    <w:p w:rsidR="00BC7C54" w:rsidRDefault="009844C3" w:rsidP="00BC7C54">
      <w:pPr>
        <w:pStyle w:val="ListParagraph"/>
        <w:numPr>
          <w:ilvl w:val="0"/>
          <w:numId w:val="1"/>
        </w:numPr>
      </w:pPr>
      <w:r>
        <w:t>Recognize indications for nerve blocks that may be performed in the emergency department (ED) setting</w:t>
      </w:r>
    </w:p>
    <w:p w:rsidR="009844C3" w:rsidRDefault="009844C3" w:rsidP="00BC7C54">
      <w:pPr>
        <w:pStyle w:val="ListParagraph"/>
        <w:numPr>
          <w:ilvl w:val="0"/>
          <w:numId w:val="1"/>
        </w:numPr>
      </w:pPr>
      <w:r>
        <w:t>Understand the risks</w:t>
      </w:r>
      <w:r w:rsidR="00AF533F">
        <w:t>,</w:t>
      </w:r>
      <w:r>
        <w:t xml:space="preserve"> benefits</w:t>
      </w:r>
      <w:r w:rsidR="00AF533F">
        <w:t>, and contraindications</w:t>
      </w:r>
      <w:r>
        <w:t xml:space="preserve"> </w:t>
      </w:r>
      <w:r w:rsidR="00AF533F">
        <w:t>to</w:t>
      </w:r>
      <w:r>
        <w:t xml:space="preserve"> </w:t>
      </w:r>
      <w:r w:rsidR="00AF533F">
        <w:t>performing regional anesthesia</w:t>
      </w:r>
    </w:p>
    <w:p w:rsidR="00361156" w:rsidRDefault="009844C3" w:rsidP="00BC7C54">
      <w:pPr>
        <w:pStyle w:val="ListParagraph"/>
        <w:numPr>
          <w:ilvl w:val="0"/>
          <w:numId w:val="1"/>
        </w:numPr>
      </w:pPr>
      <w:r>
        <w:t>Appreciate the motor, sensory, and nerve anatomy that guides specific nerve block p</w:t>
      </w:r>
      <w:r w:rsidR="00361156">
        <w:t>rocedures and desired</w:t>
      </w:r>
      <w:r>
        <w:t xml:space="preserve"> anesthesia</w:t>
      </w:r>
    </w:p>
    <w:p w:rsidR="008D3084" w:rsidRDefault="00361156" w:rsidP="008D3084">
      <w:pPr>
        <w:pStyle w:val="ListParagraph"/>
        <w:numPr>
          <w:ilvl w:val="0"/>
          <w:numId w:val="1"/>
        </w:numPr>
      </w:pPr>
      <w:r>
        <w:t>Identify relevant nerves, muscles, and vessels using bedside ultrasound</w:t>
      </w:r>
    </w:p>
    <w:p w:rsidR="00361156" w:rsidRDefault="008D3084" w:rsidP="008D3084">
      <w:pPr>
        <w:pStyle w:val="ListParagraph"/>
        <w:numPr>
          <w:ilvl w:val="0"/>
          <w:numId w:val="1"/>
        </w:numPr>
      </w:pPr>
      <w:r>
        <w:t xml:space="preserve">Choose the appropriate anesthetic and dosing for specific </w:t>
      </w:r>
      <w:r w:rsidR="00A605EE">
        <w:t>nerve blocks</w:t>
      </w:r>
    </w:p>
    <w:p w:rsidR="00361156" w:rsidRDefault="00361156" w:rsidP="00BC7C54">
      <w:pPr>
        <w:pStyle w:val="ListParagraph"/>
        <w:numPr>
          <w:ilvl w:val="0"/>
          <w:numId w:val="1"/>
        </w:numPr>
      </w:pPr>
      <w:r>
        <w:t>Feel confident performing the following nerve blocks in the ED:</w:t>
      </w:r>
    </w:p>
    <w:p w:rsidR="008353AB" w:rsidRDefault="00361156" w:rsidP="00361156">
      <w:pPr>
        <w:pStyle w:val="ListParagraph"/>
        <w:numPr>
          <w:ilvl w:val="1"/>
          <w:numId w:val="1"/>
        </w:numPr>
      </w:pPr>
      <w:r>
        <w:t>Femoral nerve block</w:t>
      </w:r>
    </w:p>
    <w:p w:rsidR="00361156" w:rsidRDefault="008353AB" w:rsidP="008353AB">
      <w:pPr>
        <w:pStyle w:val="ListParagraph"/>
        <w:numPr>
          <w:ilvl w:val="2"/>
          <w:numId w:val="1"/>
        </w:numPr>
      </w:pPr>
      <w:r>
        <w:t>Hip fractures</w:t>
      </w:r>
    </w:p>
    <w:p w:rsidR="008353AB" w:rsidRDefault="00361156" w:rsidP="00361156">
      <w:pPr>
        <w:pStyle w:val="ListParagraph"/>
        <w:numPr>
          <w:ilvl w:val="1"/>
          <w:numId w:val="1"/>
        </w:numPr>
      </w:pPr>
      <w:r>
        <w:t>Ulnar/median/radial forearm nerve blocks</w:t>
      </w:r>
    </w:p>
    <w:p w:rsidR="00361156" w:rsidRDefault="008353AB" w:rsidP="008353AB">
      <w:pPr>
        <w:pStyle w:val="ListParagraph"/>
        <w:numPr>
          <w:ilvl w:val="2"/>
          <w:numId w:val="1"/>
        </w:numPr>
      </w:pPr>
      <w:r>
        <w:t>Complicated lacerations, burns, foreign body removal</w:t>
      </w:r>
    </w:p>
    <w:p w:rsidR="008353AB" w:rsidRDefault="00361156" w:rsidP="00361156">
      <w:pPr>
        <w:pStyle w:val="ListParagraph"/>
        <w:numPr>
          <w:ilvl w:val="1"/>
          <w:numId w:val="1"/>
        </w:numPr>
      </w:pPr>
      <w:r>
        <w:t>Posterior tibial nerve block</w:t>
      </w:r>
    </w:p>
    <w:p w:rsidR="0000754D" w:rsidRDefault="008353AB" w:rsidP="008353AB">
      <w:pPr>
        <w:pStyle w:val="ListParagraph"/>
        <w:numPr>
          <w:ilvl w:val="2"/>
          <w:numId w:val="1"/>
        </w:numPr>
      </w:pPr>
      <w:r>
        <w:t>Complicated lacerations, burns, foreign body removal</w:t>
      </w:r>
    </w:p>
    <w:p w:rsidR="008353AB" w:rsidRDefault="0000754D" w:rsidP="0000754D">
      <w:pPr>
        <w:pStyle w:val="ListParagraph"/>
        <w:numPr>
          <w:ilvl w:val="1"/>
          <w:numId w:val="1"/>
        </w:numPr>
      </w:pPr>
      <w:r>
        <w:t>Popliteal sciatic nerve block</w:t>
      </w:r>
    </w:p>
    <w:p w:rsidR="00361156" w:rsidRDefault="008353AB" w:rsidP="008353AB">
      <w:pPr>
        <w:pStyle w:val="ListParagraph"/>
        <w:numPr>
          <w:ilvl w:val="2"/>
          <w:numId w:val="1"/>
        </w:numPr>
      </w:pPr>
      <w:proofErr w:type="spellStart"/>
      <w:r>
        <w:t>Tib</w:t>
      </w:r>
      <w:proofErr w:type="spellEnd"/>
      <w:r>
        <w:t>/fib fractures (discuss with Ortho due to relatively higher risk of compartment syndrome)</w:t>
      </w:r>
    </w:p>
    <w:p w:rsidR="008353AB" w:rsidRDefault="00361156" w:rsidP="00361156">
      <w:pPr>
        <w:pStyle w:val="ListParagraph"/>
        <w:numPr>
          <w:ilvl w:val="1"/>
          <w:numId w:val="1"/>
        </w:numPr>
      </w:pPr>
      <w:r>
        <w:t>Intercostal nerve block</w:t>
      </w:r>
      <w:r w:rsidR="00241482">
        <w:t xml:space="preserve"> or </w:t>
      </w:r>
      <w:proofErr w:type="spellStart"/>
      <w:r w:rsidR="00241482">
        <w:t>serratus</w:t>
      </w:r>
      <w:proofErr w:type="spellEnd"/>
      <w:r w:rsidR="00241482">
        <w:t xml:space="preserve"> anterior plexus block</w:t>
      </w:r>
    </w:p>
    <w:p w:rsidR="00361156" w:rsidRDefault="008353AB" w:rsidP="008353AB">
      <w:pPr>
        <w:pStyle w:val="ListParagraph"/>
        <w:numPr>
          <w:ilvl w:val="2"/>
          <w:numId w:val="1"/>
        </w:numPr>
      </w:pPr>
      <w:r>
        <w:t>Rib fractures</w:t>
      </w:r>
    </w:p>
    <w:p w:rsidR="008353AB" w:rsidRDefault="00AF533F" w:rsidP="00361156">
      <w:pPr>
        <w:pStyle w:val="ListParagraph"/>
        <w:numPr>
          <w:ilvl w:val="1"/>
          <w:numId w:val="1"/>
        </w:numPr>
      </w:pPr>
      <w:r>
        <w:t>Brachial plexus blocks</w:t>
      </w:r>
      <w:r w:rsidR="008353AB">
        <w:t xml:space="preserve"> (interscalene, supraclavicular, infraclavicular, axillary)</w:t>
      </w:r>
    </w:p>
    <w:p w:rsidR="0010318C" w:rsidRDefault="008353AB" w:rsidP="008353AB">
      <w:pPr>
        <w:pStyle w:val="ListParagraph"/>
        <w:numPr>
          <w:ilvl w:val="2"/>
          <w:numId w:val="1"/>
        </w:numPr>
      </w:pPr>
      <w:r>
        <w:t xml:space="preserve">Interscalene location for </w:t>
      </w:r>
      <w:proofErr w:type="spellStart"/>
      <w:r>
        <w:t>humerus</w:t>
      </w:r>
      <w:proofErr w:type="spellEnd"/>
      <w:r>
        <w:t xml:space="preserve"> and clavicle fractures</w:t>
      </w:r>
    </w:p>
    <w:p w:rsidR="0000754D" w:rsidRDefault="0010318C" w:rsidP="0010318C">
      <w:pPr>
        <w:pStyle w:val="ListParagraph"/>
        <w:numPr>
          <w:ilvl w:val="0"/>
          <w:numId w:val="1"/>
        </w:numPr>
      </w:pPr>
      <w:r>
        <w:t>Appropriately document the nerve block in the patient chart, and use skin marker to document the time and location of the procedure on the patient’s skin.</w:t>
      </w:r>
    </w:p>
    <w:p w:rsidR="00685B5E" w:rsidRDefault="00685B5E" w:rsidP="000A6491">
      <w:pPr>
        <w:tabs>
          <w:tab w:val="left" w:pos="3165"/>
        </w:tabs>
      </w:pPr>
    </w:p>
    <w:p w:rsidR="00BC7C54" w:rsidRDefault="000A6491" w:rsidP="000A6491">
      <w:pPr>
        <w:tabs>
          <w:tab w:val="left" w:pos="3165"/>
        </w:tabs>
      </w:pPr>
      <w:r>
        <w:br/>
      </w:r>
      <w:r w:rsidR="00DB1CF4">
        <w:rPr>
          <w:b/>
        </w:rPr>
        <w:t xml:space="preserve">II – </w:t>
      </w:r>
      <w:r w:rsidR="00BC7C54">
        <w:rPr>
          <w:b/>
        </w:rPr>
        <w:t>Objectives</w:t>
      </w:r>
    </w:p>
    <w:p w:rsidR="00BC7C54" w:rsidRDefault="00BC7C54" w:rsidP="000A6491">
      <w:pPr>
        <w:tabs>
          <w:tab w:val="left" w:pos="3165"/>
        </w:tabs>
      </w:pPr>
    </w:p>
    <w:p w:rsidR="00BC7C54" w:rsidRDefault="00BC7C54" w:rsidP="000A6491">
      <w:pPr>
        <w:tabs>
          <w:tab w:val="left" w:pos="3165"/>
        </w:tabs>
      </w:pPr>
      <w:r>
        <w:t>Fellows and residents will meet these goals by:</w:t>
      </w:r>
    </w:p>
    <w:p w:rsidR="00BC7C54" w:rsidRDefault="00BC7C54" w:rsidP="000A6491">
      <w:pPr>
        <w:tabs>
          <w:tab w:val="left" w:pos="3165"/>
        </w:tabs>
      </w:pPr>
    </w:p>
    <w:p w:rsidR="00BC7C54" w:rsidRDefault="00BD2BE0" w:rsidP="00BC7C54">
      <w:pPr>
        <w:pStyle w:val="ListParagraph"/>
        <w:numPr>
          <w:ilvl w:val="0"/>
          <w:numId w:val="2"/>
        </w:numPr>
        <w:tabs>
          <w:tab w:val="left" w:pos="3165"/>
        </w:tabs>
      </w:pPr>
      <w:r>
        <w:t>Reading the requisite material (including but not limited to that below)</w:t>
      </w:r>
    </w:p>
    <w:p w:rsidR="00BD2BE0" w:rsidRDefault="00BD2BE0" w:rsidP="00BC7C54">
      <w:pPr>
        <w:pStyle w:val="ListParagraph"/>
        <w:numPr>
          <w:ilvl w:val="0"/>
          <w:numId w:val="2"/>
        </w:numPr>
        <w:tabs>
          <w:tab w:val="left" w:pos="3165"/>
        </w:tabs>
      </w:pPr>
      <w:r w:rsidRPr="00241482">
        <w:rPr>
          <w:i/>
        </w:rPr>
        <w:t>Watching video tutorials</w:t>
      </w:r>
      <w:r w:rsidR="00A605EE">
        <w:t xml:space="preserve"> (including but not limited to that below)</w:t>
      </w:r>
    </w:p>
    <w:p w:rsidR="00BD2BE0" w:rsidRDefault="00BD2BE0" w:rsidP="00BC7C54">
      <w:pPr>
        <w:pStyle w:val="ListParagraph"/>
        <w:numPr>
          <w:ilvl w:val="0"/>
          <w:numId w:val="2"/>
        </w:numPr>
        <w:tabs>
          <w:tab w:val="left" w:pos="3165"/>
        </w:tabs>
      </w:pPr>
      <w:r>
        <w:lastRenderedPageBreak/>
        <w:t>Observing nerve blocks in the pre-operative setting</w:t>
      </w:r>
    </w:p>
    <w:p w:rsidR="000813DA" w:rsidRDefault="00BD2BE0" w:rsidP="00BC7C54">
      <w:pPr>
        <w:pStyle w:val="ListParagraph"/>
        <w:numPr>
          <w:ilvl w:val="0"/>
          <w:numId w:val="2"/>
        </w:numPr>
        <w:tabs>
          <w:tab w:val="left" w:pos="3165"/>
        </w:tabs>
      </w:pPr>
      <w:r>
        <w:t>Performing nerve blocks as permitted in the pre-operative setting</w:t>
      </w:r>
    </w:p>
    <w:p w:rsidR="00BC7C54" w:rsidRDefault="000813DA" w:rsidP="000813DA">
      <w:pPr>
        <w:pStyle w:val="ListParagraph"/>
        <w:numPr>
          <w:ilvl w:val="0"/>
          <w:numId w:val="2"/>
        </w:numPr>
        <w:tabs>
          <w:tab w:val="left" w:pos="3165"/>
        </w:tabs>
      </w:pPr>
      <w:r>
        <w:t>Practicing nerve blocks in the Simulation Lab</w:t>
      </w:r>
    </w:p>
    <w:p w:rsidR="00685B5E" w:rsidRDefault="00685B5E" w:rsidP="000A6491">
      <w:pPr>
        <w:tabs>
          <w:tab w:val="left" w:pos="3165"/>
        </w:tabs>
      </w:pPr>
    </w:p>
    <w:p w:rsidR="00BC7C54" w:rsidRDefault="00BC7C54" w:rsidP="000A6491">
      <w:pPr>
        <w:tabs>
          <w:tab w:val="left" w:pos="3165"/>
        </w:tabs>
      </w:pPr>
    </w:p>
    <w:p w:rsidR="00BC7C54" w:rsidRDefault="00DB1CF4" w:rsidP="000A6491">
      <w:pPr>
        <w:tabs>
          <w:tab w:val="left" w:pos="3165"/>
        </w:tabs>
      </w:pPr>
      <w:r>
        <w:rPr>
          <w:b/>
        </w:rPr>
        <w:t xml:space="preserve">III – </w:t>
      </w:r>
      <w:r w:rsidR="00BC7C54">
        <w:rPr>
          <w:b/>
        </w:rPr>
        <w:t>Recommended Reading</w:t>
      </w:r>
      <w:r w:rsidR="000A6491">
        <w:br/>
      </w:r>
    </w:p>
    <w:p w:rsidR="00BC7C54" w:rsidRDefault="00BC7C54" w:rsidP="000A6491">
      <w:pPr>
        <w:tabs>
          <w:tab w:val="left" w:pos="3165"/>
        </w:tabs>
      </w:pPr>
      <w:r>
        <w:t xml:space="preserve">Online </w:t>
      </w:r>
      <w:r w:rsidR="00A605EE">
        <w:t>reading and tutorials</w:t>
      </w:r>
      <w:r>
        <w:t>:</w:t>
      </w:r>
    </w:p>
    <w:p w:rsidR="00BC7C54" w:rsidRDefault="00BC7C54" w:rsidP="000A6491">
      <w:pPr>
        <w:tabs>
          <w:tab w:val="left" w:pos="3165"/>
        </w:tabs>
      </w:pPr>
      <w:r>
        <w:t>-</w:t>
      </w:r>
      <w:r w:rsidR="00A605EE">
        <w:t xml:space="preserve"> </w:t>
      </w:r>
      <w:r w:rsidR="00D315A6">
        <w:t>New York School of Regional Anesthesia (</w:t>
      </w:r>
      <w:r w:rsidR="00D315A6" w:rsidRPr="00D315A6">
        <w:t>http://www.nysora.com/</w:t>
      </w:r>
      <w:r w:rsidR="00D315A6">
        <w:t>)</w:t>
      </w:r>
    </w:p>
    <w:p w:rsidR="00D315A6" w:rsidRDefault="00BC7C54" w:rsidP="000A6491">
      <w:pPr>
        <w:tabs>
          <w:tab w:val="left" w:pos="3165"/>
        </w:tabs>
      </w:pPr>
      <w:r>
        <w:t>-</w:t>
      </w:r>
      <w:r w:rsidR="00A605EE">
        <w:t xml:space="preserve"> </w:t>
      </w:r>
      <w:r w:rsidR="00D315A6">
        <w:t>SonoGuide (</w:t>
      </w:r>
      <w:r w:rsidR="00D315A6" w:rsidRPr="00D315A6">
        <w:t>http://www.sonoguide.com/nerve_block.html</w:t>
      </w:r>
      <w:r w:rsidR="00D315A6">
        <w:t>)</w:t>
      </w:r>
    </w:p>
    <w:p w:rsidR="000813DA" w:rsidRDefault="00D315A6" w:rsidP="000A6491">
      <w:pPr>
        <w:tabs>
          <w:tab w:val="left" w:pos="3165"/>
        </w:tabs>
      </w:pPr>
      <w:r>
        <w:t>-</w:t>
      </w:r>
      <w:r w:rsidR="00A605EE">
        <w:t xml:space="preserve"> </w:t>
      </w:r>
      <w:r>
        <w:t>Ultrasound Guided Regional Anesthesia (</w:t>
      </w:r>
      <w:r w:rsidRPr="00D315A6">
        <w:t>http://www.usra.ca/</w:t>
      </w:r>
      <w:r>
        <w:t>)</w:t>
      </w:r>
    </w:p>
    <w:p w:rsidR="000813DA" w:rsidRDefault="000813DA" w:rsidP="000A6491">
      <w:pPr>
        <w:tabs>
          <w:tab w:val="left" w:pos="3165"/>
        </w:tabs>
      </w:pPr>
      <w:r>
        <w:t>- Neuraxiom (</w:t>
      </w:r>
      <w:r w:rsidRPr="000813DA">
        <w:t>http://www.neuraxiom.com/</w:t>
      </w:r>
      <w:r>
        <w:t>)</w:t>
      </w:r>
    </w:p>
    <w:p w:rsidR="00BC7C54" w:rsidRDefault="00BC7C54" w:rsidP="000A6491">
      <w:pPr>
        <w:tabs>
          <w:tab w:val="left" w:pos="3165"/>
        </w:tabs>
      </w:pPr>
    </w:p>
    <w:p w:rsidR="00BC7C54" w:rsidRDefault="00685B5E" w:rsidP="000A6491">
      <w:pPr>
        <w:tabs>
          <w:tab w:val="left" w:pos="3165"/>
        </w:tabs>
      </w:pPr>
      <w:r>
        <w:t>YouTube video</w:t>
      </w:r>
      <w:r w:rsidR="00BC7C54">
        <w:t xml:space="preserve"> tutorials</w:t>
      </w:r>
    </w:p>
    <w:p w:rsidR="00685B5E" w:rsidRDefault="00BC7C54" w:rsidP="000A6491">
      <w:pPr>
        <w:tabs>
          <w:tab w:val="left" w:pos="3165"/>
        </w:tabs>
      </w:pPr>
      <w:r>
        <w:t>-</w:t>
      </w:r>
      <w:r w:rsidR="00A605EE">
        <w:t xml:space="preserve"> </w:t>
      </w:r>
      <w:r w:rsidR="00685B5E" w:rsidRPr="00241482">
        <w:rPr>
          <w:i/>
        </w:rPr>
        <w:t>ThePainSource:</w:t>
      </w:r>
      <w:r w:rsidR="00D315A6" w:rsidRPr="00241482">
        <w:rPr>
          <w:i/>
        </w:rPr>
        <w:t xml:space="preserve"> enter “SonoSite” and the desired nerve block</w:t>
      </w:r>
    </w:p>
    <w:p w:rsidR="00685B5E" w:rsidRDefault="00685B5E" w:rsidP="000A6491">
      <w:pPr>
        <w:tabs>
          <w:tab w:val="left" w:pos="3165"/>
        </w:tabs>
      </w:pPr>
      <w:r>
        <w:t>-</w:t>
      </w:r>
      <w:r w:rsidR="00A605EE">
        <w:t xml:space="preserve"> </w:t>
      </w:r>
      <w:r>
        <w:t>NYSORA</w:t>
      </w:r>
    </w:p>
    <w:p w:rsidR="00685B5E" w:rsidRDefault="00685B5E" w:rsidP="000A6491">
      <w:pPr>
        <w:tabs>
          <w:tab w:val="left" w:pos="3165"/>
        </w:tabs>
      </w:pPr>
    </w:p>
    <w:p w:rsidR="00BC7C54" w:rsidRDefault="00BC7C54" w:rsidP="000A6491">
      <w:pPr>
        <w:tabs>
          <w:tab w:val="left" w:pos="3165"/>
        </w:tabs>
      </w:pPr>
    </w:p>
    <w:p w:rsidR="00BC7C54" w:rsidRDefault="00BC7C54" w:rsidP="000A6491">
      <w:pPr>
        <w:tabs>
          <w:tab w:val="left" w:pos="3165"/>
        </w:tabs>
      </w:pPr>
      <w:r>
        <w:rPr>
          <w:b/>
        </w:rPr>
        <w:t>IV: Rotation Logistics</w:t>
      </w:r>
    </w:p>
    <w:p w:rsidR="00BC7C54" w:rsidRDefault="00BC7C54" w:rsidP="000A6491">
      <w:pPr>
        <w:tabs>
          <w:tab w:val="left" w:pos="3165"/>
        </w:tabs>
      </w:pPr>
    </w:p>
    <w:p w:rsidR="007F2C1B" w:rsidRDefault="007F2C1B" w:rsidP="000A6491">
      <w:pPr>
        <w:tabs>
          <w:tab w:val="left" w:pos="3165"/>
        </w:tabs>
      </w:pPr>
      <w:r>
        <w:rPr>
          <w:u w:val="single"/>
        </w:rPr>
        <w:t>Contact person</w:t>
      </w:r>
    </w:p>
    <w:p w:rsidR="007F2C1B" w:rsidRDefault="007F2C1B" w:rsidP="000A6491">
      <w:pPr>
        <w:tabs>
          <w:tab w:val="left" w:pos="3165"/>
        </w:tabs>
      </w:pPr>
      <w:r>
        <w:t>Michael Anderson, Assistant Professor of Anesthesiology</w:t>
      </w:r>
    </w:p>
    <w:p w:rsidR="007F2C1B" w:rsidRDefault="000813DA" w:rsidP="000A6491">
      <w:pPr>
        <w:tabs>
          <w:tab w:val="left" w:pos="3165"/>
        </w:tabs>
      </w:pPr>
      <w:r>
        <w:t>Michael.A</w:t>
      </w:r>
      <w:r w:rsidR="007F2C1B">
        <w:t>nderson@mountsinai.org</w:t>
      </w:r>
    </w:p>
    <w:p w:rsidR="00BC7C54" w:rsidRPr="007F2C1B" w:rsidRDefault="00BC7C54" w:rsidP="000A6491">
      <w:pPr>
        <w:tabs>
          <w:tab w:val="left" w:pos="3165"/>
        </w:tabs>
      </w:pPr>
    </w:p>
    <w:p w:rsidR="007F2C1B" w:rsidRDefault="00BC7C54" w:rsidP="000A6491">
      <w:pPr>
        <w:tabs>
          <w:tab w:val="left" w:pos="3165"/>
        </w:tabs>
        <w:rPr>
          <w:u w:val="single"/>
        </w:rPr>
      </w:pPr>
      <w:r>
        <w:rPr>
          <w:u w:val="single"/>
        </w:rPr>
        <w:t>Where to report</w:t>
      </w:r>
    </w:p>
    <w:p w:rsidR="007F2C1B" w:rsidRPr="007F2C1B" w:rsidRDefault="007F2C1B" w:rsidP="000A6491">
      <w:pPr>
        <w:tabs>
          <w:tab w:val="left" w:pos="3165"/>
        </w:tabs>
      </w:pPr>
      <w:r>
        <w:t xml:space="preserve">Guggenheim </w:t>
      </w:r>
      <w:r w:rsidR="00AC2DA8">
        <w:t>Pavilion</w:t>
      </w:r>
      <w:r>
        <w:t>, 3</w:t>
      </w:r>
      <w:r w:rsidRPr="007F2C1B">
        <w:rPr>
          <w:vertAlign w:val="superscript"/>
        </w:rPr>
        <w:t>rd</w:t>
      </w:r>
      <w:r>
        <w:t xml:space="preserve"> Floor, Pre-Operative Area</w:t>
      </w:r>
    </w:p>
    <w:p w:rsidR="00BC7C54" w:rsidRPr="007F2C1B" w:rsidRDefault="00BC7C54" w:rsidP="000A6491">
      <w:pPr>
        <w:tabs>
          <w:tab w:val="left" w:pos="3165"/>
        </w:tabs>
      </w:pPr>
    </w:p>
    <w:p w:rsidR="007F2C1B" w:rsidRPr="007F2C1B" w:rsidRDefault="00A605EE" w:rsidP="000A6491">
      <w:pPr>
        <w:tabs>
          <w:tab w:val="left" w:pos="3165"/>
        </w:tabs>
      </w:pPr>
      <w:r>
        <w:rPr>
          <w:u w:val="single"/>
        </w:rPr>
        <w:t xml:space="preserve">Green </w:t>
      </w:r>
      <w:r w:rsidR="007F2C1B">
        <w:rPr>
          <w:u w:val="single"/>
        </w:rPr>
        <w:t>Operating Room Scrub Access</w:t>
      </w:r>
    </w:p>
    <w:p w:rsidR="007F2C1B" w:rsidRDefault="007F2C1B" w:rsidP="000A6491">
      <w:pPr>
        <w:tabs>
          <w:tab w:val="left" w:pos="3165"/>
        </w:tabs>
      </w:pPr>
      <w:r>
        <w:t xml:space="preserve">Fill out the attached sheet, have Dr. Peter Shearer sign, and email to </w:t>
      </w:r>
      <w:r w:rsidRPr="007F2C1B">
        <w:t>uniformsupport@mountsinai.org</w:t>
      </w:r>
      <w:r>
        <w:t>. Call the Linens Department to confirm.</w:t>
      </w:r>
    </w:p>
    <w:p w:rsidR="00BC7C54" w:rsidRDefault="00BC7C54" w:rsidP="000A6491">
      <w:pPr>
        <w:tabs>
          <w:tab w:val="left" w:pos="3165"/>
        </w:tabs>
        <w:rPr>
          <w:u w:val="single"/>
        </w:rPr>
      </w:pPr>
    </w:p>
    <w:p w:rsidR="007F2C1B" w:rsidRDefault="007F2C1B" w:rsidP="000A6491">
      <w:pPr>
        <w:tabs>
          <w:tab w:val="left" w:pos="3165"/>
        </w:tabs>
      </w:pPr>
      <w:r>
        <w:rPr>
          <w:u w:val="single"/>
        </w:rPr>
        <w:t>Guidelines for the typical day</w:t>
      </w:r>
    </w:p>
    <w:p w:rsidR="00CC748C" w:rsidRDefault="00311736" w:rsidP="000A6491">
      <w:pPr>
        <w:tabs>
          <w:tab w:val="left" w:pos="3165"/>
        </w:tabs>
      </w:pPr>
      <w:r>
        <w:t>- A</w:t>
      </w:r>
      <w:r w:rsidR="00CC748C">
        <w:t xml:space="preserve">rrive to </w:t>
      </w:r>
      <w:r w:rsidR="00A605EE">
        <w:t>the Pre-Operative Area</w:t>
      </w:r>
      <w:r w:rsidR="00CC748C">
        <w:t xml:space="preserve"> by 7 AM.</w:t>
      </w:r>
    </w:p>
    <w:p w:rsidR="00D36648" w:rsidRDefault="00D36648" w:rsidP="000A6491">
      <w:pPr>
        <w:tabs>
          <w:tab w:val="left" w:pos="3165"/>
        </w:tabs>
      </w:pPr>
      <w:r>
        <w:t>-</w:t>
      </w:r>
      <w:r w:rsidR="00311736">
        <w:t xml:space="preserve"> </w:t>
      </w:r>
      <w:r>
        <w:t xml:space="preserve">On the operating room schedule for the day that is located on the counter, scan for those procedures where regional nerve blocks will be used (Orthopedic/Hand). Usually, one </w:t>
      </w:r>
      <w:r w:rsidR="000813DA">
        <w:t xml:space="preserve">or two </w:t>
      </w:r>
      <w:r>
        <w:t>operating room</w:t>
      </w:r>
      <w:r w:rsidR="000813DA">
        <w:t>s</w:t>
      </w:r>
      <w:r>
        <w:t xml:space="preserve"> will be devoted to these throughout the entire day. This schedule can also be found online the evening prior </w:t>
      </w:r>
      <w:r w:rsidR="000813DA">
        <w:t>on the Sinai Anesthesia intranet.</w:t>
      </w:r>
    </w:p>
    <w:p w:rsidR="00D36648" w:rsidRDefault="00D36648" w:rsidP="000A6491">
      <w:pPr>
        <w:tabs>
          <w:tab w:val="left" w:pos="3165"/>
        </w:tabs>
      </w:pPr>
      <w:r>
        <w:t>-</w:t>
      </w:r>
      <w:r w:rsidR="00311736">
        <w:t xml:space="preserve"> </w:t>
      </w:r>
      <w:r>
        <w:t xml:space="preserve">Find the anesthesia resident (or attending) listed on the schedule </w:t>
      </w:r>
      <w:r w:rsidR="000813DA">
        <w:t xml:space="preserve">for these procedures </w:t>
      </w:r>
      <w:r>
        <w:t xml:space="preserve">and introduce </w:t>
      </w:r>
      <w:proofErr w:type="gramStart"/>
      <w:r>
        <w:t>yourself</w:t>
      </w:r>
      <w:proofErr w:type="gramEnd"/>
      <w:r>
        <w:t>.</w:t>
      </w:r>
    </w:p>
    <w:p w:rsidR="00D36648" w:rsidRDefault="00D36648" w:rsidP="000A6491">
      <w:pPr>
        <w:tabs>
          <w:tab w:val="left" w:pos="3165"/>
        </w:tabs>
      </w:pPr>
      <w:r>
        <w:t>-</w:t>
      </w:r>
      <w:r w:rsidR="00311736">
        <w:t xml:space="preserve"> </w:t>
      </w:r>
      <w:r>
        <w:t xml:space="preserve">Learn by observing the nerve block performed by the </w:t>
      </w:r>
      <w:r w:rsidR="00A605EE">
        <w:t xml:space="preserve">anesthesia </w:t>
      </w:r>
      <w:r>
        <w:t xml:space="preserve">resident, supervised by the attending. Though less commonly, </w:t>
      </w:r>
      <w:r w:rsidR="00A605EE">
        <w:t xml:space="preserve">you will sometimes be encouraged </w:t>
      </w:r>
      <w:r>
        <w:t xml:space="preserve">to perform the </w:t>
      </w:r>
      <w:r w:rsidR="00A605EE">
        <w:t>procedure</w:t>
      </w:r>
      <w:r>
        <w:t xml:space="preserve"> yourself.</w:t>
      </w:r>
      <w:r w:rsidR="00311736">
        <w:t xml:space="preserve"> Keep in mind that the </w:t>
      </w:r>
      <w:r w:rsidR="00A605EE">
        <w:t xml:space="preserve">anesthesia </w:t>
      </w:r>
      <w:r w:rsidR="00311736">
        <w:t>residents themselves need the practice, and just like emergency medicine residents with intubations, it is not common for them to give them away. Showing enthusiasm, knowledge, and personal/communicative skills can help.</w:t>
      </w:r>
    </w:p>
    <w:p w:rsidR="00AF533F" w:rsidRDefault="00D36648" w:rsidP="00241482">
      <w:pPr>
        <w:tabs>
          <w:tab w:val="left" w:pos="3165"/>
        </w:tabs>
      </w:pPr>
      <w:r>
        <w:t>-</w:t>
      </w:r>
      <w:r w:rsidR="00311736">
        <w:t xml:space="preserve"> </w:t>
      </w:r>
      <w:r>
        <w:t>After the nerve block, whether performed in the Pre-Operat</w:t>
      </w:r>
      <w:r w:rsidR="000813DA">
        <w:t>ive Area or the Operating Room</w:t>
      </w:r>
      <w:r>
        <w:t>, you can use the computers in the Pre-operative Area while you wait for the next procedure.</w:t>
      </w:r>
    </w:p>
    <w:sectPr w:rsidR="00AF533F" w:rsidSect="00AF53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764"/>
    <w:multiLevelType w:val="hybridMultilevel"/>
    <w:tmpl w:val="3904A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6F87"/>
    <w:multiLevelType w:val="hybridMultilevel"/>
    <w:tmpl w:val="2B64F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91"/>
    <w:rsid w:val="000063A3"/>
    <w:rsid w:val="0000754D"/>
    <w:rsid w:val="000813DA"/>
    <w:rsid w:val="000A6491"/>
    <w:rsid w:val="000C27E9"/>
    <w:rsid w:val="0010318C"/>
    <w:rsid w:val="001870A3"/>
    <w:rsid w:val="00194718"/>
    <w:rsid w:val="00241482"/>
    <w:rsid w:val="0024485B"/>
    <w:rsid w:val="00311736"/>
    <w:rsid w:val="00361156"/>
    <w:rsid w:val="004B1D82"/>
    <w:rsid w:val="004C30ED"/>
    <w:rsid w:val="00685B5E"/>
    <w:rsid w:val="007922EE"/>
    <w:rsid w:val="007F2C1B"/>
    <w:rsid w:val="008353AB"/>
    <w:rsid w:val="008D3084"/>
    <w:rsid w:val="009844C3"/>
    <w:rsid w:val="00A605EE"/>
    <w:rsid w:val="00A77512"/>
    <w:rsid w:val="00AC2DA8"/>
    <w:rsid w:val="00AF533F"/>
    <w:rsid w:val="00B829AC"/>
    <w:rsid w:val="00BC7C54"/>
    <w:rsid w:val="00BD2BE0"/>
    <w:rsid w:val="00CC748C"/>
    <w:rsid w:val="00D315A6"/>
    <w:rsid w:val="00D36648"/>
    <w:rsid w:val="00DB1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1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1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3220</Characters>
  <Application>Microsoft Macintosh Word</Application>
  <DocSecurity>0</DocSecurity>
  <Lines>26</Lines>
  <Paragraphs>7</Paragraphs>
  <ScaleCrop>false</ScaleCrop>
  <Company>Mount Sinai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Alerhand</dc:creator>
  <cp:keywords/>
  <cp:lastModifiedBy>Elaine Rabin</cp:lastModifiedBy>
  <cp:revision>2</cp:revision>
  <dcterms:created xsi:type="dcterms:W3CDTF">2018-01-10T14:50:00Z</dcterms:created>
  <dcterms:modified xsi:type="dcterms:W3CDTF">2018-01-10T14:50:00Z</dcterms:modified>
</cp:coreProperties>
</file>